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Количество оборудованных учебных кабинетов учреждения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rPr>
          <w:rFonts w:ascii="Georgia" w:cs="Georgia" w:eastAsia="Georgia" w:hAnsi="Georgia"/>
          <w:b w:val="1"/>
          <w:color w:val="0000cd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color w:val="0000cd"/>
          <w:sz w:val="21"/>
          <w:szCs w:val="21"/>
          <w:rtl w:val="0"/>
        </w:rPr>
        <w:t xml:space="preserve">В ДОО функционируют специальные помещения: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30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кабинет заведующего;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методический кабинет;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медицинский кабинет (кабинет приёма, процедурный, изолятор);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музыкальный зал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спортивный зал;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кабинет педагога-психолога;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логопедический кабинет;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пищеблок;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прачечная.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Все помещения оборудованы в соответствии с их функциональным назначением и соблюдением санитарно – гигиенических требований. В ДОО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гигиеническихнорм на группах, наличием моющих средств для мытья посуды, стирки белья и спецодежды.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rPr>
          <w:rFonts w:ascii="Georgia" w:cs="Georgia" w:eastAsia="Georgia" w:hAnsi="Georgia"/>
          <w:color w:val="0033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Групповые помещения ДОО имеют отдельные спальни, санузлы, приёмные комнаты, буфетные.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555555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